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038BA">
      <w:pPr>
        <w:rPr>
          <w:rFonts w:ascii="Calibri" w:hAnsi="Calibri" w:cs="Calibri"/>
          <w:lang w:val="sr-Latn-RS"/>
        </w:rPr>
      </w:pPr>
    </w:p>
    <w:p w14:paraId="258D1CA7">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lang w:val="sr-Latn-RS"/>
        </w:rPr>
        <w:t>Na osnovu člana 329. u vezi sa članovima 287. i 288. Zakona o privrednim društvima (</w:t>
      </w:r>
      <w:r>
        <w:rPr>
          <w:rFonts w:hint="default" w:ascii="Times New Roman" w:hAnsi="Times New Roman" w:cs="Times New Roman"/>
          <w:i/>
          <w:sz w:val="24"/>
          <w:szCs w:val="24"/>
          <w:lang w:val="sr-Latn-RS"/>
        </w:rPr>
        <w:t>„Sl. glasnik RS“, br. 36/2011, 99/2011, 83/2014 - dr. zakon, 5/2015, 44/2018, 95/2018, 91/2019, 109/2021 i 19/2025</w:t>
      </w:r>
      <w:r>
        <w:rPr>
          <w:rFonts w:hint="default" w:ascii="Times New Roman" w:hAnsi="Times New Roman" w:cs="Times New Roman"/>
          <w:sz w:val="24"/>
          <w:szCs w:val="24"/>
          <w:lang w:val="sr-Latn-RS"/>
        </w:rPr>
        <w:t xml:space="preserve">), Skupština akcionara </w:t>
      </w:r>
      <w:bookmarkStart w:id="0" w:name="_Hlk206150825"/>
      <w:r>
        <w:rPr>
          <w:rFonts w:hint="default" w:ascii="Times New Roman" w:hAnsi="Times New Roman" w:cs="Times New Roman"/>
          <w:sz w:val="24"/>
          <w:szCs w:val="24"/>
          <w:lang w:val="sr-Latn-RS"/>
        </w:rPr>
        <w:t xml:space="preserve">akcionarskog društva </w:t>
      </w:r>
      <w:r>
        <w:rPr>
          <w:rFonts w:hint="default" w:ascii="Times New Roman" w:hAnsi="Times New Roman" w:eastAsia="SimSun" w:cs="Times New Roman"/>
          <w:i w:val="0"/>
          <w:iCs w:val="0"/>
          <w:caps w:val="0"/>
          <w:color w:val="102239"/>
          <w:spacing w:val="0"/>
          <w:sz w:val="24"/>
          <w:szCs w:val="24"/>
        </w:rPr>
        <w:t>PREDUZEĆE ZA IZRADU METALNIH PROIZVODA ZIMPA AD UB</w:t>
      </w:r>
      <w:r>
        <w:rPr>
          <w:rFonts w:hint="default" w:ascii="Times New Roman" w:hAnsi="Times New Roman" w:cs="Times New Roman"/>
          <w:sz w:val="24"/>
          <w:szCs w:val="24"/>
          <w:lang w:val="sr-Latn-RS"/>
        </w:rPr>
        <w:t xml:space="preserve">, ul. 7. </w:t>
      </w:r>
      <w:r>
        <w:rPr>
          <w:rFonts w:hint="default" w:ascii="Times New Roman" w:hAnsi="Times New Roman" w:cs="Times New Roman"/>
          <w:sz w:val="24"/>
          <w:szCs w:val="24"/>
          <w:highlight w:val="none"/>
          <w:lang w:val="sr-Latn-RS"/>
        </w:rPr>
        <w:t>jula br. 2, matični broj: 07098561 („</w:t>
      </w:r>
      <w:r>
        <w:rPr>
          <w:rFonts w:hint="default" w:ascii="Times New Roman" w:hAnsi="Times New Roman" w:cs="Times New Roman"/>
          <w:b/>
          <w:bCs/>
          <w:sz w:val="24"/>
          <w:szCs w:val="24"/>
          <w:highlight w:val="none"/>
          <w:lang w:val="sr-Latn-RS"/>
        </w:rPr>
        <w:t>ZIMPA AD UB</w:t>
      </w:r>
      <w:r>
        <w:rPr>
          <w:rFonts w:hint="default" w:ascii="Times New Roman" w:hAnsi="Times New Roman" w:cs="Times New Roman"/>
          <w:sz w:val="24"/>
          <w:szCs w:val="24"/>
          <w:highlight w:val="none"/>
          <w:lang w:val="sr-Latn-RS"/>
        </w:rPr>
        <w:t>“ ili „</w:t>
      </w:r>
      <w:r>
        <w:rPr>
          <w:rFonts w:hint="default" w:ascii="Times New Roman" w:hAnsi="Times New Roman" w:cs="Times New Roman"/>
          <w:b/>
          <w:sz w:val="24"/>
          <w:szCs w:val="24"/>
          <w:highlight w:val="none"/>
          <w:lang w:val="sr-Latn-RS"/>
        </w:rPr>
        <w:t>Društvo</w:t>
      </w:r>
      <w:r>
        <w:rPr>
          <w:rFonts w:hint="default" w:ascii="Times New Roman" w:hAnsi="Times New Roman" w:cs="Times New Roman"/>
          <w:sz w:val="24"/>
          <w:szCs w:val="24"/>
          <w:highlight w:val="none"/>
          <w:lang w:val="sr-Latn-RS"/>
        </w:rPr>
        <w:t>“)</w:t>
      </w:r>
      <w:bookmarkEnd w:id="0"/>
      <w:r>
        <w:rPr>
          <w:rFonts w:hint="default" w:ascii="Times New Roman" w:hAnsi="Times New Roman" w:cs="Times New Roman"/>
          <w:sz w:val="24"/>
          <w:szCs w:val="24"/>
          <w:highlight w:val="none"/>
          <w:lang w:val="sr-Latn-RS"/>
        </w:rPr>
        <w:t>, na redovnoj sednici održanoj 29. juna 2026. godine, donela je sledeću:</w:t>
      </w:r>
    </w:p>
    <w:p w14:paraId="3190E76B">
      <w:pPr>
        <w:rPr>
          <w:rFonts w:hint="default" w:ascii="Times New Roman" w:hAnsi="Times New Roman" w:cs="Times New Roman"/>
          <w:sz w:val="24"/>
          <w:szCs w:val="24"/>
          <w:highlight w:val="none"/>
          <w:lang w:val="sr-Latn-RS"/>
        </w:rPr>
      </w:pPr>
    </w:p>
    <w:p w14:paraId="1F0AC8EB">
      <w:pPr>
        <w:jc w:val="center"/>
        <w:rPr>
          <w:rFonts w:hint="default" w:ascii="Times New Roman" w:hAnsi="Times New Roman" w:cs="Times New Roman"/>
          <w:b/>
          <w:bCs/>
          <w:sz w:val="24"/>
          <w:szCs w:val="24"/>
          <w:highlight w:val="none"/>
          <w:lang w:val="sr-Latn-RS"/>
        </w:rPr>
      </w:pPr>
      <w:r>
        <w:rPr>
          <w:rFonts w:hint="default" w:ascii="Times New Roman" w:hAnsi="Times New Roman" w:cs="Times New Roman"/>
          <w:b/>
          <w:bCs/>
          <w:sz w:val="24"/>
          <w:szCs w:val="24"/>
          <w:highlight w:val="none"/>
          <w:lang w:val="sr-Latn-RS"/>
        </w:rPr>
        <w:t>ODLUKU</w:t>
      </w:r>
    </w:p>
    <w:p w14:paraId="7BCA9910">
      <w:pPr>
        <w:jc w:val="center"/>
        <w:rPr>
          <w:rFonts w:hint="default" w:ascii="Times New Roman" w:hAnsi="Times New Roman" w:cs="Times New Roman"/>
          <w:b/>
          <w:bCs/>
          <w:sz w:val="24"/>
          <w:szCs w:val="24"/>
          <w:highlight w:val="none"/>
          <w:lang w:val="sr-Latn-RS"/>
        </w:rPr>
      </w:pPr>
      <w:r>
        <w:rPr>
          <w:rFonts w:hint="default" w:ascii="Times New Roman" w:hAnsi="Times New Roman" w:cs="Times New Roman"/>
          <w:b/>
          <w:bCs/>
          <w:sz w:val="24"/>
          <w:szCs w:val="24"/>
          <w:highlight w:val="none"/>
          <w:lang w:val="sr-Latn-RS"/>
        </w:rPr>
        <w:t>O OTUĐENJU SOPSTVENIH AKCIJA ZIMPA AD UB</w:t>
      </w:r>
    </w:p>
    <w:p w14:paraId="265EF5C6">
      <w:pPr>
        <w:rPr>
          <w:rFonts w:hint="default" w:ascii="Times New Roman" w:hAnsi="Times New Roman" w:cs="Times New Roman"/>
          <w:sz w:val="24"/>
          <w:szCs w:val="24"/>
          <w:highlight w:val="none"/>
          <w:lang w:val="sr-Latn-RS"/>
        </w:rPr>
      </w:pPr>
    </w:p>
    <w:p w14:paraId="24076341">
      <w:pPr>
        <w:jc w:val="cente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Član 1</w:t>
      </w:r>
    </w:p>
    <w:p w14:paraId="4A77828A">
      <w:pPr>
        <w:jc w:val="center"/>
        <w:rPr>
          <w:rFonts w:hint="default" w:ascii="Times New Roman" w:hAnsi="Times New Roman" w:cs="Times New Roman"/>
          <w:sz w:val="24"/>
          <w:szCs w:val="24"/>
          <w:highlight w:val="none"/>
          <w:lang w:val="sr-Latn-RS"/>
        </w:rPr>
      </w:pPr>
    </w:p>
    <w:p w14:paraId="65D7BE60">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Privredno društvo ZIMPA AD UB je kroz postupak otkupa akcija od nesaglasnih akcionara, steklo 2.822 sopstvenih akcija, što čini 11.20064 % od ukupnog broja izdatih akcija.</w:t>
      </w:r>
    </w:p>
    <w:p w14:paraId="20AF4557">
      <w:pPr>
        <w:rPr>
          <w:rFonts w:hint="default" w:ascii="Times New Roman" w:hAnsi="Times New Roman" w:cs="Times New Roman"/>
          <w:sz w:val="24"/>
          <w:szCs w:val="24"/>
          <w:highlight w:val="none"/>
          <w:lang w:val="sr-Latn-RS"/>
        </w:rPr>
      </w:pPr>
    </w:p>
    <w:p w14:paraId="7F03D39F">
      <w:pPr>
        <w:jc w:val="cente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Član 2</w:t>
      </w:r>
    </w:p>
    <w:p w14:paraId="50DA83BB">
      <w:pPr>
        <w:jc w:val="center"/>
        <w:rPr>
          <w:rFonts w:hint="default" w:ascii="Times New Roman" w:hAnsi="Times New Roman" w:cs="Times New Roman"/>
          <w:sz w:val="24"/>
          <w:szCs w:val="24"/>
          <w:highlight w:val="none"/>
          <w:lang w:val="sr-Latn-RS"/>
        </w:rPr>
      </w:pPr>
    </w:p>
    <w:p w14:paraId="69FC7845">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 xml:space="preserve">U skladu sa ovom odlukom, Društvo će ponuditi na prodaju/otuđenje </w:t>
      </w:r>
      <w:bookmarkStart w:id="1" w:name="_GoBack"/>
      <w:bookmarkEnd w:id="1"/>
      <w:r>
        <w:rPr>
          <w:rFonts w:hint="default" w:ascii="Times New Roman" w:hAnsi="Times New Roman" w:cs="Times New Roman"/>
          <w:sz w:val="24"/>
          <w:szCs w:val="24"/>
          <w:highlight w:val="none"/>
          <w:lang w:val="sr-Latn-RS"/>
        </w:rPr>
        <w:t>2.822 sopstvenih akcija, CFI kod: ESVUFR, ISIN broj: RSZIMPE58754.</w:t>
      </w:r>
    </w:p>
    <w:p w14:paraId="159ED905">
      <w:pPr>
        <w:rPr>
          <w:rFonts w:hint="default" w:ascii="Times New Roman" w:hAnsi="Times New Roman" w:cs="Times New Roman"/>
          <w:sz w:val="24"/>
          <w:szCs w:val="24"/>
          <w:highlight w:val="none"/>
          <w:lang w:val="sr-Latn-RS"/>
        </w:rPr>
      </w:pPr>
    </w:p>
    <w:p w14:paraId="09F84227">
      <w:pPr>
        <w:jc w:val="cente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Član 3</w:t>
      </w:r>
    </w:p>
    <w:p w14:paraId="140E8187">
      <w:pPr>
        <w:jc w:val="center"/>
        <w:rPr>
          <w:rFonts w:hint="default" w:ascii="Times New Roman" w:hAnsi="Times New Roman" w:cs="Times New Roman"/>
          <w:sz w:val="24"/>
          <w:szCs w:val="24"/>
          <w:lang w:val="sr-Latn-RS"/>
        </w:rPr>
      </w:pPr>
    </w:p>
    <w:p w14:paraId="0B8BC3BB">
      <w:pP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 xml:space="preserve">Sopstvene akcije koje su predmet ove odluke, Društvo će ponuditi na prodaju/otuđenje u skladu sa članovima 287. i 288. Zakona o privrednim društvima, upućivanjem ponude svim postojećim akcionarima po principu pro rata, koji imaju pravo preče kupovine. </w:t>
      </w:r>
    </w:p>
    <w:p w14:paraId="0BE08C71">
      <w:pPr>
        <w:pStyle w:val="6"/>
        <w:rPr>
          <w:rFonts w:hint="default" w:ascii="Times New Roman" w:hAnsi="Times New Roman" w:cs="Times New Roman"/>
          <w:sz w:val="24"/>
          <w:szCs w:val="24"/>
          <w:lang w:val="sr-Latn-RS"/>
        </w:rPr>
      </w:pPr>
    </w:p>
    <w:p w14:paraId="407884AC">
      <w:pPr>
        <w:jc w:val="cente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Član 4</w:t>
      </w:r>
    </w:p>
    <w:p w14:paraId="6A86881C">
      <w:pPr>
        <w:pStyle w:val="6"/>
        <w:jc w:val="center"/>
        <w:rPr>
          <w:rFonts w:hint="default" w:ascii="Times New Roman" w:hAnsi="Times New Roman" w:cs="Times New Roman"/>
          <w:sz w:val="24"/>
          <w:szCs w:val="24"/>
          <w:lang w:val="sr-Latn-RS"/>
        </w:rPr>
      </w:pPr>
    </w:p>
    <w:p w14:paraId="46207AE7">
      <w:pP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 xml:space="preserve">Pravo preče kupovine sopstvenih akcija koje su predmet ove odluke, imaju akcionari Društva koji su na dan donošenja ove odluke, upisani u evidenciju Centralnog registra, depoa i kliringa hartija od vrednosti, srazmerno broju akcija koje poseduju na dan donošenja ove odluke. </w:t>
      </w:r>
    </w:p>
    <w:p w14:paraId="6717DCDD">
      <w:pPr>
        <w:pStyle w:val="6"/>
        <w:rPr>
          <w:rFonts w:hint="default" w:ascii="Times New Roman" w:hAnsi="Times New Roman" w:cs="Times New Roman"/>
          <w:sz w:val="24"/>
          <w:szCs w:val="24"/>
          <w:lang w:val="sr-Latn-RS"/>
        </w:rPr>
      </w:pPr>
    </w:p>
    <w:p w14:paraId="1980E82C">
      <w:pPr>
        <w:jc w:val="cente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Član 5</w:t>
      </w:r>
    </w:p>
    <w:p w14:paraId="0157AA51">
      <w:pPr>
        <w:pStyle w:val="6"/>
        <w:jc w:val="center"/>
        <w:rPr>
          <w:rFonts w:hint="default" w:ascii="Times New Roman" w:hAnsi="Times New Roman" w:cs="Times New Roman"/>
          <w:sz w:val="24"/>
          <w:szCs w:val="24"/>
          <w:highlight w:val="none"/>
          <w:lang w:val="sr-Latn-RS"/>
        </w:rPr>
      </w:pPr>
    </w:p>
    <w:p w14:paraId="1B2DA019">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Sopstvene akcije koje preostanu nakon postupka preče kupovine od strane postojećih akcionara po principu pro rata, mogu se otuđiti van organizovanog tržišta, budući da je ZIMPA AD UB organizovano kao nejavno akcionarsko društvo, ponudom akcionarima koji su koristili pravo preče kupovine, odnosno zaključivanjem Ugovora o kupoprodaji akcija, u pisanoj formi, overenom u skladu sa zakonom kojim se uređuje overa potpisa.</w:t>
      </w:r>
    </w:p>
    <w:p w14:paraId="40639B2D">
      <w:pPr>
        <w:rPr>
          <w:rFonts w:hint="default" w:ascii="Times New Roman" w:hAnsi="Times New Roman" w:cs="Times New Roman"/>
          <w:sz w:val="24"/>
          <w:szCs w:val="24"/>
          <w:lang w:val="sr-Latn-RS"/>
        </w:rPr>
      </w:pPr>
    </w:p>
    <w:p w14:paraId="4844E640">
      <w:pP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Odbor direktora će odlučivati i starati se o otuđenju sopstvenih akcija van organizovanog tržišta.</w:t>
      </w:r>
    </w:p>
    <w:p w14:paraId="1641FFC4">
      <w:pPr>
        <w:pStyle w:val="6"/>
        <w:rPr>
          <w:rFonts w:hint="default" w:ascii="Times New Roman" w:hAnsi="Times New Roman" w:cs="Times New Roman"/>
          <w:sz w:val="24"/>
          <w:szCs w:val="24"/>
          <w:lang w:val="sr-Latn-RS"/>
        </w:rPr>
      </w:pPr>
    </w:p>
    <w:p w14:paraId="7CFDC5DC">
      <w:pPr>
        <w:jc w:val="cente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Član 6</w:t>
      </w:r>
    </w:p>
    <w:p w14:paraId="2E9C89F3">
      <w:pPr>
        <w:pStyle w:val="6"/>
        <w:jc w:val="center"/>
        <w:rPr>
          <w:rFonts w:hint="default" w:ascii="Times New Roman" w:hAnsi="Times New Roman" w:cs="Times New Roman"/>
          <w:sz w:val="24"/>
          <w:szCs w:val="24"/>
          <w:highlight w:val="none"/>
          <w:lang w:val="sr-Latn-RS"/>
        </w:rPr>
      </w:pPr>
    </w:p>
    <w:p w14:paraId="46650106">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 xml:space="preserve">Cena po kojoj se otuđuju sopstvene akcije utvrđena je shodnom primenom člana 260. Zakona o privrednim društvima, i iznosi 10.000,00 RSD po jednoj akciji. </w:t>
      </w:r>
    </w:p>
    <w:p w14:paraId="2BE5238A">
      <w:pPr>
        <w:rPr>
          <w:rFonts w:hint="default" w:ascii="Times New Roman" w:hAnsi="Times New Roman" w:cs="Times New Roman"/>
          <w:sz w:val="24"/>
          <w:szCs w:val="24"/>
          <w:highlight w:val="none"/>
          <w:lang w:val="sr-Latn-RS"/>
        </w:rPr>
      </w:pPr>
    </w:p>
    <w:p w14:paraId="10912F3D">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 xml:space="preserve">Shodnom primenom člana 260. Zakona o privrednim društvima, cena po kojoj se otuđuju sopstvene akcije ne može biti niža od tržišne vrednosti akcija utvrđene u skladu sa članom 259. Zakona, niti niža od nominalne vrednosti akcija. Budući da procenjena tržišna vrednost akcije iznosi 0 RSD, što je niže od nominalne vrednosti, akcije će se otuđiti po nominalnoj vrednosti. </w:t>
      </w:r>
    </w:p>
    <w:p w14:paraId="2CCE034A">
      <w:pPr>
        <w:pStyle w:val="6"/>
        <w:rPr>
          <w:rFonts w:hint="default" w:ascii="Times New Roman" w:hAnsi="Times New Roman" w:cs="Times New Roman"/>
          <w:sz w:val="24"/>
          <w:szCs w:val="24"/>
          <w:highlight w:val="none"/>
          <w:lang w:val="sr-Latn-RS"/>
        </w:rPr>
      </w:pPr>
    </w:p>
    <w:p w14:paraId="7660F656">
      <w:pPr>
        <w:jc w:val="cente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Član 7</w:t>
      </w:r>
    </w:p>
    <w:p w14:paraId="00D733E3">
      <w:pPr>
        <w:pStyle w:val="6"/>
        <w:jc w:val="center"/>
        <w:rPr>
          <w:rFonts w:hint="default" w:ascii="Times New Roman" w:hAnsi="Times New Roman" w:cs="Times New Roman"/>
          <w:sz w:val="24"/>
          <w:szCs w:val="24"/>
          <w:highlight w:val="none"/>
          <w:lang w:val="sr-Latn-RS"/>
        </w:rPr>
      </w:pPr>
    </w:p>
    <w:p w14:paraId="5AEE3BA4">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 xml:space="preserve">Odbor direktora se ovim putem ovlašćuje da preduzme sve neophodne mere, radnje i aktivnosti u cilju realizacije postupka prodaje/otuđenja svih sopstvenih akcija koje su predmet ove odluke. </w:t>
      </w:r>
    </w:p>
    <w:p w14:paraId="0072FAEB">
      <w:pPr>
        <w:pStyle w:val="6"/>
        <w:rPr>
          <w:rFonts w:hint="default" w:ascii="Times New Roman" w:hAnsi="Times New Roman" w:cs="Times New Roman"/>
          <w:sz w:val="24"/>
          <w:szCs w:val="24"/>
          <w:highlight w:val="none"/>
          <w:lang w:val="sr-Latn-RS"/>
        </w:rPr>
      </w:pPr>
    </w:p>
    <w:p w14:paraId="5610BD5F">
      <w:pPr>
        <w:jc w:val="cente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Član 8</w:t>
      </w:r>
    </w:p>
    <w:p w14:paraId="5B3DC199">
      <w:pPr>
        <w:pStyle w:val="6"/>
        <w:jc w:val="center"/>
        <w:rPr>
          <w:rFonts w:hint="default" w:ascii="Times New Roman" w:hAnsi="Times New Roman" w:cs="Times New Roman"/>
          <w:sz w:val="24"/>
          <w:szCs w:val="24"/>
          <w:lang w:val="sr-Latn-RS"/>
        </w:rPr>
      </w:pPr>
    </w:p>
    <w:p w14:paraId="6B38F8F3">
      <w:pP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 xml:space="preserve">Ova odluka stupa na snagu i primenjuje se danom donošenja. </w:t>
      </w:r>
    </w:p>
    <w:p w14:paraId="03B3717A">
      <w:pPr>
        <w:rPr>
          <w:rFonts w:hint="default" w:ascii="Times New Roman" w:hAnsi="Times New Roman" w:cs="Times New Roman"/>
          <w:sz w:val="24"/>
          <w:szCs w:val="24"/>
          <w:lang w:val="sr-Latn-RS"/>
        </w:rPr>
      </w:pPr>
    </w:p>
    <w:p w14:paraId="1614F7B7">
      <w:pPr>
        <w:jc w:val="center"/>
        <w:rPr>
          <w:rFonts w:hint="default" w:ascii="Times New Roman" w:hAnsi="Times New Roman" w:cs="Times New Roman"/>
          <w:b/>
          <w:sz w:val="24"/>
          <w:szCs w:val="24"/>
          <w:lang w:val="sr-Latn-RS"/>
        </w:rPr>
      </w:pPr>
      <w:r>
        <w:rPr>
          <w:rFonts w:hint="default" w:ascii="Times New Roman" w:hAnsi="Times New Roman" w:cs="Times New Roman"/>
          <w:b/>
          <w:sz w:val="24"/>
          <w:szCs w:val="24"/>
          <w:lang w:val="sr-Latn-RS"/>
        </w:rPr>
        <w:t>OBRAZLOŽENJE</w:t>
      </w:r>
    </w:p>
    <w:p w14:paraId="3D6FE945">
      <w:pPr>
        <w:rPr>
          <w:rFonts w:hint="default" w:ascii="Times New Roman" w:hAnsi="Times New Roman" w:cs="Times New Roman"/>
          <w:sz w:val="24"/>
          <w:szCs w:val="24"/>
          <w:lang w:val="sr-Latn-RS"/>
        </w:rPr>
      </w:pPr>
    </w:p>
    <w:p w14:paraId="0954C1FA">
      <w:pP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U postupku otkupa akcija od nesaglasnih akcionara, Društvo je steklo 2.822 sopstvenih akcija, CFI kod: ESVUFR, ISIN broj:  RSZIMPE58754.</w:t>
      </w:r>
    </w:p>
    <w:p w14:paraId="13A2595B">
      <w:pPr>
        <w:rPr>
          <w:rFonts w:hint="default" w:ascii="Times New Roman" w:hAnsi="Times New Roman" w:cs="Times New Roman"/>
          <w:sz w:val="24"/>
          <w:szCs w:val="24"/>
          <w:lang w:val="sr-Latn-RS"/>
        </w:rPr>
      </w:pPr>
    </w:p>
    <w:p w14:paraId="564AC11D">
      <w:pPr>
        <w:rPr>
          <w:rFonts w:hint="default" w:ascii="Times New Roman" w:hAnsi="Times New Roman" w:cs="Times New Roman"/>
          <w:sz w:val="24"/>
          <w:szCs w:val="24"/>
          <w:lang w:val="sr-Latn-RS"/>
        </w:rPr>
      </w:pPr>
      <w:r>
        <w:rPr>
          <w:rFonts w:hint="default" w:ascii="Times New Roman" w:hAnsi="Times New Roman" w:cs="Times New Roman"/>
          <w:sz w:val="24"/>
          <w:szCs w:val="24"/>
          <w:lang w:val="sr-Latn-RS"/>
        </w:rPr>
        <w:t xml:space="preserve">Na osnovu člana 288. stav 5. Zakona o privrednim društvima, cena po kojoj društvo može otuđiti sopstvene akcije utvrđuje se shodnom primenom člana 260. istog Zakona, kojim je propisano da cena po kojoj se otuđuju sopstvene akcije ne može biti niža od tržišne vrednosti akcije utvrđene u skladu sa članom 259. Zakona o privrednim društvima, niti niža od nominalne vrednosti akcije. </w:t>
      </w:r>
    </w:p>
    <w:p w14:paraId="0CDF5333">
      <w:pPr>
        <w:rPr>
          <w:rFonts w:hint="default" w:ascii="Times New Roman" w:hAnsi="Times New Roman" w:cs="Times New Roman"/>
          <w:sz w:val="24"/>
          <w:szCs w:val="24"/>
          <w:highlight w:val="none"/>
          <w:lang w:val="sr-Latn-RS"/>
        </w:rPr>
      </w:pPr>
    </w:p>
    <w:p w14:paraId="6E8780F3">
      <w:pP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 xml:space="preserve">Budući da je procenjena tržišna vrednosti akcije 0 RSD, cena po kojoj se otuđuju sopstvene akcije Društva iznosi 10.000,00 RSD po jednoj akciji, s obzirom da je nominalna vrednost akcije 10.000,00 RSD. </w:t>
      </w:r>
    </w:p>
    <w:p w14:paraId="5F6AD7AC">
      <w:pPr>
        <w:pStyle w:val="6"/>
        <w:rPr>
          <w:rFonts w:hint="default" w:ascii="Times New Roman" w:hAnsi="Times New Roman" w:cs="Times New Roman"/>
          <w:sz w:val="24"/>
          <w:szCs w:val="24"/>
          <w:highlight w:val="none"/>
          <w:lang w:val="sr-Latn-RS"/>
        </w:rPr>
      </w:pPr>
    </w:p>
    <w:p w14:paraId="20E0C2D2">
      <w:pPr>
        <w:jc w:val="center"/>
        <w:rPr>
          <w:rFonts w:hint="default" w:ascii="Times New Roman" w:hAnsi="Times New Roman" w:cs="Times New Roman"/>
          <w:b w:val="0"/>
          <w:bCs w:val="0"/>
          <w:sz w:val="24"/>
          <w:szCs w:val="24"/>
          <w:highlight w:val="none"/>
          <w:lang w:val="sr-Latn-RS"/>
        </w:rPr>
      </w:pPr>
      <w:r>
        <w:rPr>
          <w:rFonts w:hint="default" w:ascii="Times New Roman" w:hAnsi="Times New Roman" w:cs="Times New Roman"/>
          <w:sz w:val="24"/>
          <w:szCs w:val="24"/>
          <w:highlight w:val="none"/>
          <w:lang w:val="sr-Latn-RS"/>
        </w:rPr>
        <w:t>Predsednik Skupštine</w:t>
      </w:r>
      <w:r>
        <w:rPr>
          <w:rFonts w:hint="default" w:ascii="Times New Roman" w:hAnsi="Times New Roman" w:cs="Times New Roman"/>
          <w:b w:val="0"/>
          <w:bCs w:val="0"/>
          <w:sz w:val="24"/>
          <w:szCs w:val="24"/>
          <w:highlight w:val="none"/>
          <w:lang w:val="sr-Latn-RS"/>
        </w:rPr>
        <w:t xml:space="preserve"> ZIMPA AD UB</w:t>
      </w:r>
    </w:p>
    <w:p w14:paraId="699EA3E4">
      <w:pPr>
        <w:jc w:val="center"/>
        <w:rPr>
          <w:rFonts w:hint="default" w:ascii="Times New Roman" w:hAnsi="Times New Roman" w:cs="Times New Roman"/>
          <w:sz w:val="24"/>
          <w:szCs w:val="24"/>
          <w:highlight w:val="none"/>
          <w:lang w:val="sr-Latn-RS"/>
        </w:rPr>
      </w:pPr>
      <w:r>
        <w:rPr>
          <w:rFonts w:hint="default" w:ascii="Times New Roman" w:hAnsi="Times New Roman" w:cs="Times New Roman"/>
          <w:sz w:val="24"/>
          <w:szCs w:val="24"/>
          <w:highlight w:val="none"/>
          <w:lang w:val="sr-Latn-RS"/>
        </w:rPr>
        <w:t>(uneti ime i prezime)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1D0C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B95FA">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2966A">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pPr>
      <w:r>
        <w:separator/>
      </w:r>
    </w:p>
  </w:footnote>
  <w:footnote w:type="continuationSeparator" w:id="1">
    <w:p>
      <w:pPr>
        <w:spacing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3FA1E">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AA312">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C922B">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DBC"/>
    <w:rsid w:val="001B4572"/>
    <w:rsid w:val="00214DBC"/>
    <w:rsid w:val="00266B5C"/>
    <w:rsid w:val="00332236"/>
    <w:rsid w:val="00430F9B"/>
    <w:rsid w:val="004E601E"/>
    <w:rsid w:val="005B5BD9"/>
    <w:rsid w:val="00614B0D"/>
    <w:rsid w:val="00662422"/>
    <w:rsid w:val="006C3F8F"/>
    <w:rsid w:val="00793E9A"/>
    <w:rsid w:val="00A8681B"/>
    <w:rsid w:val="00C108B2"/>
    <w:rsid w:val="00C70720"/>
    <w:rsid w:val="00C7686C"/>
    <w:rsid w:val="00C97F62"/>
    <w:rsid w:val="00DB1135"/>
    <w:rsid w:val="00EA6544"/>
    <w:rsid w:val="00EF3554"/>
    <w:rsid w:val="00F93E5C"/>
    <w:rsid w:val="05E144F8"/>
    <w:rsid w:val="2AEC25CA"/>
    <w:rsid w:val="40040E39"/>
    <w:rsid w:val="4FA32D2E"/>
    <w:rsid w:val="5ABC137A"/>
    <w:rsid w:val="74455C79"/>
    <w:rsid w:val="7EF3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88" w:lineRule="auto"/>
      <w:jc w:val="both"/>
    </w:pPr>
    <w:rPr>
      <w:rFonts w:ascii="Times New Roman" w:hAnsi="Times New Roman"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8"/>
    <w:unhideWhenUsed/>
    <w:qFormat/>
    <w:uiPriority w:val="99"/>
    <w:pPr>
      <w:tabs>
        <w:tab w:val="center" w:pos="4680"/>
        <w:tab w:val="right" w:pos="9360"/>
      </w:tabs>
      <w:spacing w:line="240" w:lineRule="auto"/>
    </w:pPr>
  </w:style>
  <w:style w:type="paragraph" w:styleId="5">
    <w:name w:val="header"/>
    <w:basedOn w:val="1"/>
    <w:link w:val="7"/>
    <w:unhideWhenUsed/>
    <w:qFormat/>
    <w:uiPriority w:val="99"/>
    <w:pPr>
      <w:tabs>
        <w:tab w:val="center" w:pos="4680"/>
        <w:tab w:val="right" w:pos="9360"/>
      </w:tabs>
      <w:spacing w:line="240" w:lineRule="auto"/>
    </w:pPr>
  </w:style>
  <w:style w:type="paragraph" w:styleId="6">
    <w:name w:val="List Paragraph"/>
    <w:basedOn w:val="1"/>
    <w:qFormat/>
    <w:uiPriority w:val="34"/>
    <w:pPr>
      <w:ind w:left="720"/>
      <w:contextualSpacing/>
    </w:pPr>
  </w:style>
  <w:style w:type="character" w:customStyle="1" w:styleId="7">
    <w:name w:val="Header Char"/>
    <w:basedOn w:val="2"/>
    <w:link w:val="5"/>
    <w:qFormat/>
    <w:uiPriority w:val="99"/>
    <w:rPr>
      <w:rFonts w:ascii="Times New Roman" w:hAnsi="Times New Roman"/>
      <w:kern w:val="2"/>
      <w14:ligatures w14:val="standardContextual"/>
    </w:rPr>
  </w:style>
  <w:style w:type="character" w:customStyle="1" w:styleId="8">
    <w:name w:val="Footer Char"/>
    <w:basedOn w:val="2"/>
    <w:link w:val="4"/>
    <w:qFormat/>
    <w:uiPriority w:val="99"/>
    <w:rPr>
      <w:rFonts w:ascii="Times New Roman" w:hAnsi="Times New Roman"/>
      <w:kern w:val="2"/>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529</Words>
  <Characters>2920</Characters>
  <Lines>25</Lines>
  <Paragraphs>7</Paragraphs>
  <TotalTime>1</TotalTime>
  <ScaleCrop>false</ScaleCrop>
  <LinksUpToDate>false</LinksUpToDate>
  <CharactersWithSpaces>3431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2025-08-15T08:28:00Z</dcterms:created>
  <dc:creator>MIM</dc:creator>
  <cp:lastModifiedBy>Gorana Jovanović</cp:lastModifiedBy>
  <dcterms:modified xsi:type="dcterms:W3CDTF">2026-06-08T11:02:10Z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eyJoZGlkIjoiNWUwMWMzOGZmZjU1NzY4MDVkMzZkNTI5YWEzOGIwYWEiLCJ1c2VySWQiOiI4MTI2NTk5Nzk3MzM3In0=</vt:lpwstr>
  </property>
  <property fmtid="{D5CDD505-2E9C-101B-9397-08002B2CF9AE}" pid="3" name="KSOProductBuildVer">
    <vt:lpwstr>1033-12.1.0.26880</vt:lpwstr>
  </property>
  <property fmtid="{D5CDD505-2E9C-101B-9397-08002B2CF9AE}" pid="4" name="ICV">
    <vt:lpwstr>1D053CAC462C486C95E4042F5CB0799A_12</vt:lpwstr>
  </property>
</Properties>
</file>